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1" w:rsidRPr="008B4BE1" w:rsidRDefault="008B4BE1" w:rsidP="008B4BE1">
      <w:pPr>
        <w:pBdr>
          <w:bottom w:val="single" w:sz="12" w:space="6" w:color="CCCCCC"/>
        </w:pBdr>
        <w:spacing w:after="120" w:line="312" w:lineRule="atLeast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52"/>
          <w:szCs w:val="52"/>
          <w:lang w:eastAsia="ru-RU"/>
        </w:rPr>
      </w:pPr>
      <w:r w:rsidRPr="008B4BE1">
        <w:rPr>
          <w:rFonts w:ascii="Tahoma" w:eastAsia="Times New Roman" w:hAnsi="Tahoma" w:cs="Tahoma"/>
          <w:b/>
          <w:bCs/>
          <w:color w:val="222222"/>
          <w:kern w:val="36"/>
          <w:sz w:val="52"/>
          <w:szCs w:val="52"/>
          <w:lang w:eastAsia="ru-RU"/>
        </w:rPr>
        <w:t>Профилактика энтеровирусной инфекции</w:t>
      </w:r>
    </w:p>
    <w:p w:rsidR="008B4BE1" w:rsidRPr="008B4BE1" w:rsidRDefault="008B4BE1" w:rsidP="008B4BE1">
      <w:pPr>
        <w:pBdr>
          <w:bottom w:val="single" w:sz="12" w:space="6" w:color="CCCCCC"/>
        </w:pBdr>
        <w:spacing w:after="120" w:line="312" w:lineRule="atLeast"/>
        <w:jc w:val="lef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9"/>
          <w:szCs w:val="39"/>
          <w:lang w:eastAsia="ru-RU"/>
        </w:rPr>
      </w:pP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Проблема энтеровирусной инфекции остается актуальной в летний период в связи с повышением заболеваемости именно в этот период времени.</w:t>
      </w:r>
    </w:p>
    <w:p w:rsidR="008B4BE1" w:rsidRPr="008B4BE1" w:rsidRDefault="008B4BE1" w:rsidP="008B4BE1">
      <w:pPr>
        <w:spacing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Вызывается заболевание </w:t>
      </w: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энтеровирусами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,  </w:t>
      </w:r>
      <w:proofErr w:type="gram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которые</w:t>
      </w:r>
      <w:proofErr w:type="gram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очень устойчивы во внешней среде. </w:t>
      </w: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Энтеровирусы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</w:t>
      </w:r>
    </w:p>
    <w:p w:rsidR="008B4BE1" w:rsidRPr="008B4BE1" w:rsidRDefault="008B4BE1" w:rsidP="008B4BE1">
      <w:pPr>
        <w:spacing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Источником инфекции является только человек - больной или здоровый носитель. Вирус обнаруживается в фекалиях. Он поражает маленьких детей при попадании небольшой дозы с водой или с пищей. Основными путями передачи энтеровирусной инфекции являются </w:t>
      </w:r>
      <w:proofErr w:type="gram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водный</w:t>
      </w:r>
      <w:proofErr w:type="gram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, контактно-бытовой, воздушно-капельный. К факторам передачи инфекции относятся: вода, овощи, грязные руки, игрушки, объекты внешней среды.</w:t>
      </w: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Дети болеют чаще, чем взрослые. Среди детского населения </w:t>
      </w: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наиболее часто поражает детей дошкольного возраста. Не редкость и внутрисемейные вспышки заболевания.</w:t>
      </w:r>
    </w:p>
    <w:p w:rsidR="008B4BE1" w:rsidRPr="008B4BE1" w:rsidRDefault="008B4BE1" w:rsidP="008B4BE1">
      <w:pPr>
        <w:spacing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Энтеровирусы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способны поражать многие органы и ткани и органы человека (центральную и периферическую нервную систему, сердце, легкие, печень, почки, желудочно-кишечный тракт, кожу, органы зрения). В связи с этим различают различные формы заболевания. Наиболее распространенными является: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серозный вирусный менингит,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энтеровирусная лихорадка или « летний грипп»,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герпангина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энтеровирусная экзантема,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геморрагический конъюнктивит,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энтеровирусная диарея,</w:t>
      </w:r>
    </w:p>
    <w:p w:rsidR="008B4BE1" w:rsidRPr="008B4BE1" w:rsidRDefault="008B4BE1" w:rsidP="008B4BE1">
      <w:pPr>
        <w:numPr>
          <w:ilvl w:val="0"/>
          <w:numId w:val="1"/>
        </w:numPr>
        <w:spacing w:line="355" w:lineRule="atLeast"/>
        <w:ind w:left="480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миокардит.</w:t>
      </w: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lastRenderedPageBreak/>
        <w:t>Наиболее тяжело протекает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иногда, особенно у детей раннего возраста, боли в животе. При появлении указанных симптомов необходимо немедленно обратиться к врачу.</w:t>
      </w: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Как избежать заражения энтеровирусной инфекцией? Чтобы уберечь себя и своих детей от энтеровирусной инфекции надо соблюдать элементарные правила личной гигиены: тщательно мыть руки перед кормлением ребенка, после посещения туалета, перед приемом пищи. Кроме того, необходимо тщательно мыть овощи и фрукты, ополаскивая их кипяченой водой.</w:t>
      </w: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Несмотря на жаркое лето, категорически запрещается купание во всех открытых водоемах, т.к. практически все открытые водоемы инфицированы </w:t>
      </w: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энтеровирусом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.</w:t>
      </w:r>
    </w:p>
    <w:p w:rsidR="008B4BE1" w:rsidRPr="008B4BE1" w:rsidRDefault="008B4BE1" w:rsidP="008B4BE1">
      <w:pPr>
        <w:spacing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Учитывая возможную передачу </w:t>
      </w:r>
      <w:proofErr w:type="spellStart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энтеровируса</w:t>
      </w:r>
      <w:proofErr w:type="spellEnd"/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воздушно-капельным путем, необходимо соблюдать масочный режим при возникновении в коллективе или в семье случая заболевания энтеровирусной инфекции. Помещения необходимо тщательно проветривать. Наиболее эффективно сквозное</w:t>
      </w:r>
      <w:r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 xml:space="preserve"> </w:t>
      </w: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проветривание.</w:t>
      </w:r>
    </w:p>
    <w:p w:rsidR="008B4BE1" w:rsidRPr="008B4BE1" w:rsidRDefault="008B4BE1" w:rsidP="008B4BE1">
      <w:pPr>
        <w:spacing w:before="240" w:after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Помните, что заболевание легче предупредить, соблюдая элементарные меры профилактики, чем лечить.</w:t>
      </w:r>
    </w:p>
    <w:p w:rsidR="008B4BE1" w:rsidRPr="008B4BE1" w:rsidRDefault="008B4BE1" w:rsidP="008B4BE1">
      <w:pPr>
        <w:spacing w:before="240" w:line="360" w:lineRule="atLeast"/>
        <w:jc w:val="left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B4BE1">
        <w:rPr>
          <w:rFonts w:ascii="Tahoma" w:eastAsia="Times New Roman" w:hAnsi="Tahoma" w:cs="Tahoma"/>
          <w:color w:val="323232"/>
          <w:sz w:val="32"/>
          <w:szCs w:val="32"/>
          <w:lang w:eastAsia="ru-RU"/>
        </w:rPr>
        <w:t>Будьте здоровы!</w:t>
      </w:r>
    </w:p>
    <w:p w:rsidR="00E45E7D" w:rsidRDefault="00E45E7D"/>
    <w:sectPr w:rsidR="00E45E7D" w:rsidSect="005D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72F"/>
    <w:multiLevelType w:val="multilevel"/>
    <w:tmpl w:val="33C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BE1"/>
    <w:rsid w:val="000E74C2"/>
    <w:rsid w:val="001413A1"/>
    <w:rsid w:val="00197B75"/>
    <w:rsid w:val="00526714"/>
    <w:rsid w:val="005704E3"/>
    <w:rsid w:val="005D1A5E"/>
    <w:rsid w:val="00603AD7"/>
    <w:rsid w:val="006841D9"/>
    <w:rsid w:val="006D556D"/>
    <w:rsid w:val="00741C36"/>
    <w:rsid w:val="008B4BE1"/>
    <w:rsid w:val="00BF7815"/>
    <w:rsid w:val="00DA5F53"/>
    <w:rsid w:val="00E45E7D"/>
    <w:rsid w:val="00E5416E"/>
    <w:rsid w:val="00F1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D"/>
  </w:style>
  <w:style w:type="paragraph" w:styleId="1">
    <w:name w:val="heading 1"/>
    <w:basedOn w:val="a"/>
    <w:link w:val="10"/>
    <w:uiPriority w:val="9"/>
    <w:qFormat/>
    <w:rsid w:val="008B4B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B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E1"/>
    <w:rPr>
      <w:b/>
      <w:bCs/>
    </w:rPr>
  </w:style>
  <w:style w:type="character" w:customStyle="1" w:styleId="apple-converted-space">
    <w:name w:val="apple-converted-space"/>
    <w:basedOn w:val="a0"/>
    <w:rsid w:val="008B4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810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4</cp:revision>
  <dcterms:created xsi:type="dcterms:W3CDTF">2013-07-02T03:00:00Z</dcterms:created>
  <dcterms:modified xsi:type="dcterms:W3CDTF">2013-07-02T03:20:00Z</dcterms:modified>
</cp:coreProperties>
</file>